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82" w:rsidRPr="001B08B6" w:rsidRDefault="001F6482" w:rsidP="007E2FEE">
      <w:pPr>
        <w:ind w:left="5381" w:hanging="425"/>
        <w:rPr>
          <w:rFonts w:ascii="Times New Roman" w:hAnsi="Times New Roman"/>
          <w:b/>
        </w:rPr>
      </w:pPr>
      <w:bookmarkStart w:id="0" w:name="_GoBack"/>
      <w:bookmarkEnd w:id="0"/>
      <w:r w:rsidRPr="001B08B6">
        <w:rPr>
          <w:rFonts w:ascii="Times New Roman" w:hAnsi="Times New Roman"/>
          <w:b/>
        </w:rPr>
        <w:t xml:space="preserve">Приложение № </w:t>
      </w:r>
      <w:r>
        <w:rPr>
          <w:rFonts w:ascii="Times New Roman" w:hAnsi="Times New Roman"/>
          <w:b/>
        </w:rPr>
        <w:t>2</w:t>
      </w:r>
      <w:r w:rsidR="0093791A">
        <w:rPr>
          <w:rFonts w:ascii="Times New Roman" w:hAnsi="Times New Roman"/>
          <w:b/>
        </w:rPr>
        <w:t>3</w:t>
      </w:r>
    </w:p>
    <w:p w:rsidR="001F6482" w:rsidRPr="001B08B6" w:rsidRDefault="001F6482" w:rsidP="00690E09">
      <w:pPr>
        <w:spacing w:after="0"/>
        <w:ind w:left="4962" w:hanging="6"/>
        <w:rPr>
          <w:rFonts w:ascii="Times New Roman" w:hAnsi="Times New Roman"/>
        </w:rPr>
      </w:pPr>
      <w:r w:rsidRPr="001B08B6">
        <w:rPr>
          <w:rFonts w:ascii="Times New Roman" w:hAnsi="Times New Roman"/>
        </w:rPr>
        <w:t>к Правилам взаимодействия банков</w:t>
      </w:r>
      <w:r w:rsidR="0050686F">
        <w:rPr>
          <w:rFonts w:ascii="Times New Roman" w:hAnsi="Times New Roman"/>
        </w:rPr>
        <w:t xml:space="preserve"> и организаций </w:t>
      </w:r>
      <w:r w:rsidRPr="001B08B6">
        <w:rPr>
          <w:rFonts w:ascii="Times New Roman" w:hAnsi="Times New Roman"/>
        </w:rPr>
        <w:t>с акционерным об</w:t>
      </w:r>
      <w:r>
        <w:rPr>
          <w:rFonts w:ascii="Times New Roman" w:hAnsi="Times New Roman"/>
        </w:rPr>
        <w:t xml:space="preserve">ществом «Федеральная корпорация </w:t>
      </w:r>
      <w:r w:rsidRPr="001B08B6">
        <w:rPr>
          <w:rFonts w:ascii="Times New Roman" w:hAnsi="Times New Roman"/>
        </w:rPr>
        <w:t xml:space="preserve">по развитию малого </w:t>
      </w:r>
      <w:r>
        <w:rPr>
          <w:rFonts w:ascii="Times New Roman" w:hAnsi="Times New Roman"/>
        </w:rPr>
        <w:t xml:space="preserve">и среднего предпринимательства» </w:t>
      </w:r>
      <w:r w:rsidRPr="001B08B6">
        <w:rPr>
          <w:rFonts w:ascii="Times New Roman" w:hAnsi="Times New Roman"/>
        </w:rPr>
        <w:t xml:space="preserve">при их отборе и предоставлении независимых гарантий </w:t>
      </w:r>
    </w:p>
    <w:p w:rsidR="001F6482" w:rsidRDefault="001F6482" w:rsidP="001F6482"/>
    <w:p w:rsidR="001F6482" w:rsidRDefault="001F6482" w:rsidP="007E2FE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Описание заявляемой для участия в Механизме Модели </w:t>
      </w:r>
      <w:r>
        <w:rPr>
          <w:rStyle w:val="a8"/>
          <w:rFonts w:ascii="Times New Roman" w:hAnsi="Times New Roman"/>
          <w:b/>
          <w:sz w:val="24"/>
          <w:szCs w:val="24"/>
          <w:lang w:eastAsia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965"/>
      </w:tblGrid>
      <w:tr w:rsidR="001F6482" w:rsidTr="007E2FEE">
        <w:trPr>
          <w:trHeight w:val="333"/>
        </w:trPr>
        <w:tc>
          <w:tcPr>
            <w:tcW w:w="6374" w:type="dxa"/>
            <w:gridSpan w:val="2"/>
          </w:tcPr>
          <w:p w:rsidR="001F6482" w:rsidRPr="00A17CB3" w:rsidRDefault="001F6482" w:rsidP="007E2FEE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Банк </w:t>
            </w:r>
          </w:p>
        </w:tc>
        <w:tc>
          <w:tcPr>
            <w:tcW w:w="2965" w:type="dxa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Tr="009C5CA2">
        <w:tc>
          <w:tcPr>
            <w:tcW w:w="6374" w:type="dxa"/>
            <w:gridSpan w:val="2"/>
          </w:tcPr>
          <w:p w:rsidR="001F6482" w:rsidRPr="00A17CB3" w:rsidRDefault="001F6482" w:rsidP="007E2FEE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Название Модели</w:t>
            </w:r>
          </w:p>
        </w:tc>
        <w:tc>
          <w:tcPr>
            <w:tcW w:w="2965" w:type="dxa"/>
          </w:tcPr>
          <w:p w:rsidR="001F6482" w:rsidRPr="00972B6D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Дата 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начала использования</w:t>
            </w: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Модели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в Кредитном процессе Банка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203385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Способ определения параметров и весовых коэффициентов Модели </w:t>
            </w: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(статистический или экспертный)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Модель построена на статистических данных Банка без использования внешних данных (для статистических моделей) </w:t>
            </w:r>
          </w:p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(да/ нет)</w:t>
            </w:r>
          </w:p>
        </w:tc>
        <w:tc>
          <w:tcPr>
            <w:tcW w:w="2965" w:type="dxa"/>
          </w:tcPr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5B66C9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Использованные для построения Модели статистические данные получены на основе анализа сопоставимых Клиентских сегментов и Кредитных продуктов</w:t>
            </w:r>
            <w:r w:rsidRPr="00775E18">
              <w:rPr>
                <w:rFonts w:ascii="Times New Roman" w:hAnsi="Times New Roman"/>
                <w:color w:val="000000" w:themeColor="text1"/>
                <w:szCs w:val="28"/>
              </w:rPr>
              <w:t xml:space="preserve"> (да/нет)</w:t>
            </w:r>
          </w:p>
        </w:tc>
        <w:tc>
          <w:tcPr>
            <w:tcW w:w="2965" w:type="dxa"/>
          </w:tcPr>
          <w:p w:rsidR="001F6482" w:rsidRPr="005B66C9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1511A">
              <w:rPr>
                <w:rFonts w:ascii="Times New Roman" w:hAnsi="Times New Roman"/>
                <w:color w:val="000000" w:themeColor="text1"/>
                <w:szCs w:val="28"/>
              </w:rPr>
              <w:t xml:space="preserve">Правила определения входных параметров Модели (установленные действующим кредитным процессом Банка для заявленных к участию </w:t>
            </w:r>
            <w:proofErr w:type="spellStart"/>
            <w:r w:rsidRPr="00D1511A">
              <w:rPr>
                <w:rFonts w:ascii="Times New Roman" w:hAnsi="Times New Roman"/>
                <w:color w:val="000000" w:themeColor="text1"/>
                <w:szCs w:val="28"/>
              </w:rPr>
              <w:t>Подсегментов</w:t>
            </w:r>
            <w:proofErr w:type="spellEnd"/>
            <w:r w:rsidRPr="00D1511A">
              <w:rPr>
                <w:rFonts w:ascii="Times New Roman" w:hAnsi="Times New Roman"/>
                <w:color w:val="000000" w:themeColor="text1"/>
                <w:szCs w:val="28"/>
              </w:rPr>
              <w:t>) сопоставимы с правилами, которые существовали в период накопления статистики для построения Модели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(для статистических моделей) или были определены экспертами (для экспертных моделей);</w:t>
            </w:r>
          </w:p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(да/ нет)</w:t>
            </w:r>
          </w:p>
        </w:tc>
        <w:tc>
          <w:tcPr>
            <w:tcW w:w="2965" w:type="dxa"/>
          </w:tcPr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Способ определения годовых вероятностей дефолта Модели </w:t>
            </w:r>
          </w:p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(статистический или экспертный)</w:t>
            </w:r>
            <w:r w:rsidRPr="00C45B2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Наличие процессов мониторинга эффективности Моделей и их </w:t>
            </w:r>
            <w:proofErr w:type="spellStart"/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>валидации</w:t>
            </w:r>
            <w:proofErr w:type="spellEnd"/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(да/ нет)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>Дата последнего пересчета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/ установления</w:t>
            </w: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весовых коэффициентов Модели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>Дата последнего изменения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/ установления</w:t>
            </w: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значений PD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Возможность ручной корректировки рейтинга </w:t>
            </w:r>
          </w:p>
          <w:p w:rsidR="001F6482" w:rsidRPr="00C45B24" w:rsidRDefault="001F6482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да/ нет, </w:t>
            </w: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количество рейтинговых пунктов)</w:t>
            </w:r>
          </w:p>
        </w:tc>
        <w:tc>
          <w:tcPr>
            <w:tcW w:w="2965" w:type="dxa"/>
          </w:tcPr>
          <w:p w:rsidR="001F6482" w:rsidRPr="00C45B24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9339" w:type="dxa"/>
            <w:gridSpan w:val="3"/>
          </w:tcPr>
          <w:p w:rsidR="007E2FEE" w:rsidRPr="00A17CB3" w:rsidRDefault="001F6482" w:rsidP="007E2FE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Значения PD</w:t>
            </w:r>
          </w:p>
        </w:tc>
      </w:tr>
      <w:tr w:rsidR="001F6482" w:rsidRPr="00895974" w:rsidTr="009C5CA2">
        <w:tc>
          <w:tcPr>
            <w:tcW w:w="481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b/>
                <w:color w:val="000000" w:themeColor="text1"/>
                <w:szCs w:val="28"/>
              </w:rPr>
              <w:t>Буквенное или цифровое обозначение рейтинга</w:t>
            </w:r>
          </w:p>
        </w:tc>
        <w:tc>
          <w:tcPr>
            <w:tcW w:w="452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b/>
                <w:color w:val="000000" w:themeColor="text1"/>
                <w:szCs w:val="28"/>
              </w:rPr>
              <w:t>Годовая вероятность дефолта для данного рейтинга, %</w:t>
            </w:r>
          </w:p>
        </w:tc>
      </w:tr>
      <w:tr w:rsidR="00203385" w:rsidRPr="00895974" w:rsidTr="009C5CA2">
        <w:tc>
          <w:tcPr>
            <w:tcW w:w="4815" w:type="dxa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</w:tc>
        <w:tc>
          <w:tcPr>
            <w:tcW w:w="4524" w:type="dxa"/>
            <w:gridSpan w:val="2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3385" w:rsidRPr="00895974" w:rsidTr="009C5CA2">
        <w:tc>
          <w:tcPr>
            <w:tcW w:w="4815" w:type="dxa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</w:tc>
        <w:tc>
          <w:tcPr>
            <w:tcW w:w="4524" w:type="dxa"/>
            <w:gridSpan w:val="2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4815" w:type="dxa"/>
          </w:tcPr>
          <w:p w:rsidR="001F6482" w:rsidRPr="00531570" w:rsidRDefault="001F6482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</w:tc>
        <w:tc>
          <w:tcPr>
            <w:tcW w:w="4524" w:type="dxa"/>
            <w:gridSpan w:val="2"/>
          </w:tcPr>
          <w:p w:rsidR="001F6482" w:rsidRPr="00531570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E2FEE" w:rsidRDefault="007E2FEE" w:rsidP="00203385">
      <w:pPr>
        <w:keepNext/>
        <w:tabs>
          <w:tab w:val="left" w:pos="0"/>
        </w:tabs>
        <w:autoSpaceDE w:val="0"/>
        <w:autoSpaceDN w:val="0"/>
        <w:adjustRightInd w:val="0"/>
        <w:spacing w:after="120"/>
        <w:ind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482" w:rsidRPr="00972B6D" w:rsidRDefault="001F6482" w:rsidP="007E2FEE">
      <w:pPr>
        <w:keepNext/>
        <w:tabs>
          <w:tab w:val="left" w:pos="0"/>
        </w:tabs>
        <w:autoSpaceDE w:val="0"/>
        <w:autoSpaceDN w:val="0"/>
        <w:adjustRightInd w:val="0"/>
        <w:spacing w:after="120"/>
        <w:ind w:right="339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72B6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   ________________   ________________________</w:t>
      </w:r>
    </w:p>
    <w:p w:rsidR="001F6482" w:rsidRDefault="001F6482" w:rsidP="007E2FEE">
      <w:pPr>
        <w:keepNext/>
        <w:tabs>
          <w:tab w:val="left" w:pos="0"/>
        </w:tabs>
        <w:autoSpaceDE w:val="0"/>
        <w:autoSpaceDN w:val="0"/>
        <w:adjustRightInd w:val="0"/>
        <w:ind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Должность)</w:t>
      </w:r>
    </w:p>
    <w:p w:rsidR="001F6482" w:rsidRPr="00972B6D" w:rsidRDefault="001F6482" w:rsidP="007E2FEE">
      <w:pPr>
        <w:keepNext/>
        <w:tabs>
          <w:tab w:val="left" w:pos="0"/>
        </w:tabs>
        <w:autoSpaceDE w:val="0"/>
        <w:autoSpaceDN w:val="0"/>
        <w:adjustRightInd w:val="0"/>
        <w:ind w:right="339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 w:rsidRPr="00776AB6">
        <w:rPr>
          <w:rFonts w:ascii="Times New Roman" w:eastAsia="Times New Roman" w:hAnsi="Times New Roman"/>
          <w:i/>
          <w:szCs w:val="24"/>
          <w:lang w:eastAsia="ru-RU"/>
        </w:rPr>
        <w:t>(</w:t>
      </w:r>
      <w:r w:rsidRPr="00972B6D">
        <w:rPr>
          <w:rFonts w:ascii="Times New Roman" w:eastAsia="Times New Roman" w:hAnsi="Times New Roman"/>
          <w:i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i/>
          <w:szCs w:val="24"/>
          <w:lang w:eastAsia="ru-RU"/>
        </w:rPr>
        <w:t>Банка</w:t>
      </w:r>
      <w:r w:rsidRPr="00972B6D">
        <w:rPr>
          <w:rFonts w:ascii="Times New Roman" w:eastAsia="Times New Roman" w:hAnsi="Times New Roman"/>
          <w:i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/>
          <w:szCs w:val="24"/>
          <w:lang w:eastAsia="ru-RU"/>
        </w:rPr>
        <w:t xml:space="preserve">   </w:t>
      </w:r>
      <w:r w:rsidR="007E2FEE">
        <w:rPr>
          <w:rFonts w:ascii="Times New Roman" w:eastAsia="Times New Roman" w:hAnsi="Times New Roman"/>
          <w:i/>
          <w:szCs w:val="24"/>
          <w:lang w:eastAsia="ru-RU"/>
        </w:rPr>
        <w:t xml:space="preserve">           </w:t>
      </w:r>
      <w:r w:rsidRPr="00972B6D">
        <w:rPr>
          <w:rFonts w:ascii="Times New Roman" w:eastAsia="Times New Roman" w:hAnsi="Times New Roman"/>
          <w:i/>
          <w:szCs w:val="24"/>
          <w:lang w:eastAsia="ru-RU"/>
        </w:rPr>
        <w:t xml:space="preserve">  (подпись)                  </w:t>
      </w:r>
      <w:r w:rsidR="007E2FEE">
        <w:rPr>
          <w:rFonts w:ascii="Times New Roman" w:eastAsia="Times New Roman" w:hAnsi="Times New Roman"/>
          <w:i/>
          <w:szCs w:val="24"/>
          <w:lang w:eastAsia="ru-RU"/>
        </w:rPr>
        <w:t xml:space="preserve">      </w:t>
      </w:r>
      <w:r w:rsidRPr="00972B6D">
        <w:rPr>
          <w:rFonts w:ascii="Times New Roman" w:eastAsia="Times New Roman" w:hAnsi="Times New Roman"/>
          <w:i/>
          <w:szCs w:val="24"/>
          <w:lang w:eastAsia="ru-RU"/>
        </w:rPr>
        <w:t xml:space="preserve"> (ФИО полностью)                                    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1F6482" w:rsidRPr="00972B6D" w:rsidTr="009C5CA2">
        <w:trPr>
          <w:trHeight w:val="519"/>
        </w:trPr>
        <w:tc>
          <w:tcPr>
            <w:tcW w:w="2705" w:type="dxa"/>
            <w:hideMark/>
          </w:tcPr>
          <w:p w:rsidR="001F6482" w:rsidRPr="00972B6D" w:rsidRDefault="001F6482" w:rsidP="009C5CA2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972B6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 иное уполномоченное лицо)</w:t>
            </w:r>
          </w:p>
        </w:tc>
      </w:tr>
    </w:tbl>
    <w:p w:rsidR="001F6482" w:rsidRPr="00972B6D" w:rsidRDefault="001F6482" w:rsidP="001F6482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6D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«__________» ______________________20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E2FE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E2FE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F6482" w:rsidRDefault="001F6482" w:rsidP="001F6482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46" w:right="339"/>
        <w:contextualSpacing/>
        <w:jc w:val="center"/>
      </w:pPr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(</w:t>
      </w:r>
      <w:proofErr w:type="gramStart"/>
      <w:r w:rsidRPr="00972B6D">
        <w:rPr>
          <w:rFonts w:ascii="Times New Roman" w:eastAsia="Times New Roman" w:hAnsi="Times New Roman"/>
          <w:i/>
          <w:sz w:val="24"/>
          <w:szCs w:val="24"/>
          <w:lang w:eastAsia="ru-RU"/>
        </w:rPr>
        <w:t>дата )</w:t>
      </w:r>
      <w:proofErr w:type="gramEnd"/>
    </w:p>
    <w:sectPr w:rsidR="001F6482" w:rsidSect="00690E09">
      <w:headerReference w:type="default" r:id="rId6"/>
      <w:headerReference w:type="first" r:id="rId7"/>
      <w:type w:val="continuous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87" w:rsidRDefault="00F74A87" w:rsidP="001F6482">
      <w:pPr>
        <w:spacing w:after="0" w:line="240" w:lineRule="auto"/>
      </w:pPr>
      <w:r>
        <w:separator/>
      </w:r>
    </w:p>
  </w:endnote>
  <w:endnote w:type="continuationSeparator" w:id="0">
    <w:p w:rsidR="00F74A87" w:rsidRDefault="00F74A87" w:rsidP="001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87" w:rsidRDefault="00F74A87" w:rsidP="001F6482">
      <w:pPr>
        <w:spacing w:after="0" w:line="240" w:lineRule="auto"/>
      </w:pPr>
      <w:r>
        <w:separator/>
      </w:r>
    </w:p>
  </w:footnote>
  <w:footnote w:type="continuationSeparator" w:id="0">
    <w:p w:rsidR="00F74A87" w:rsidRDefault="00F74A87" w:rsidP="001F6482">
      <w:pPr>
        <w:spacing w:after="0" w:line="240" w:lineRule="auto"/>
      </w:pPr>
      <w:r>
        <w:continuationSeparator/>
      </w:r>
    </w:p>
  </w:footnote>
  <w:footnote w:id="1">
    <w:p w:rsidR="001F6482" w:rsidRPr="00776AB6" w:rsidRDefault="001F6482" w:rsidP="001F6482">
      <w:pPr>
        <w:pStyle w:val="a6"/>
      </w:pPr>
      <w:r w:rsidRPr="00776AB6">
        <w:rPr>
          <w:rStyle w:val="a8"/>
        </w:rPr>
        <w:footnoteRef/>
      </w:r>
      <w:r w:rsidRPr="00776AB6">
        <w:t xml:space="preserve"> Заполняется отдельно для каждой из указанных в Описании </w:t>
      </w:r>
      <w:proofErr w:type="spellStart"/>
      <w:r w:rsidRPr="00776AB6">
        <w:t>подсегментов</w:t>
      </w:r>
      <w:proofErr w:type="spellEnd"/>
      <w:r w:rsidRPr="00776AB6">
        <w:t xml:space="preserve"> Моделей</w:t>
      </w:r>
      <w:r w:rsidR="007E2F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220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0C20" w:rsidRDefault="009D79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3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3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3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68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3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E0C20" w:rsidRPr="00FB34DC" w:rsidRDefault="00F74A8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Pr="00C52D45" w:rsidRDefault="00F74A87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2"/>
    <w:rsid w:val="000660BD"/>
    <w:rsid w:val="001F6482"/>
    <w:rsid w:val="00203385"/>
    <w:rsid w:val="0034540D"/>
    <w:rsid w:val="0050686F"/>
    <w:rsid w:val="005166A0"/>
    <w:rsid w:val="00690E09"/>
    <w:rsid w:val="007B67C9"/>
    <w:rsid w:val="007D6D5D"/>
    <w:rsid w:val="007E2FEE"/>
    <w:rsid w:val="0093791A"/>
    <w:rsid w:val="009D7911"/>
    <w:rsid w:val="00A847E0"/>
    <w:rsid w:val="00AB3C0E"/>
    <w:rsid w:val="00B30A5B"/>
    <w:rsid w:val="00BE0779"/>
    <w:rsid w:val="00E018CA"/>
    <w:rsid w:val="00F7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1BA25-9757-4D0B-BA52-955F5602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482"/>
  </w:style>
  <w:style w:type="paragraph" w:styleId="a6">
    <w:name w:val="footnote text"/>
    <w:basedOn w:val="a"/>
    <w:link w:val="a7"/>
    <w:rsid w:val="001F64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1F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F6482"/>
    <w:rPr>
      <w:sz w:val="20"/>
      <w:vertAlign w:val="superscript"/>
    </w:rPr>
  </w:style>
  <w:style w:type="paragraph" w:styleId="a9">
    <w:name w:val="footer"/>
    <w:basedOn w:val="a"/>
    <w:link w:val="aa"/>
    <w:uiPriority w:val="99"/>
    <w:unhideWhenUsed/>
    <w:rsid w:val="007E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FEE"/>
  </w:style>
  <w:style w:type="paragraph" w:styleId="ab">
    <w:name w:val="Balloon Text"/>
    <w:basedOn w:val="a"/>
    <w:link w:val="ac"/>
    <w:uiPriority w:val="99"/>
    <w:semiHidden/>
    <w:unhideWhenUsed/>
    <w:rsid w:val="0069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8</cp:revision>
  <cp:lastPrinted>2019-02-06T15:08:00Z</cp:lastPrinted>
  <dcterms:created xsi:type="dcterms:W3CDTF">2017-06-22T15:17:00Z</dcterms:created>
  <dcterms:modified xsi:type="dcterms:W3CDTF">2022-05-30T16:22:00Z</dcterms:modified>
</cp:coreProperties>
</file>